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CC" w:rsidRDefault="00FA6FCC" w:rsidP="00FA6FCC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567859343" r:id="rId5"/>
        </w:object>
      </w:r>
    </w:p>
    <w:p w:rsidR="00FA6FCC" w:rsidRDefault="00FA6FCC" w:rsidP="00FA6FCC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FA6FCC" w:rsidRDefault="00FA6FCC" w:rsidP="00FA6FC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FA6FCC" w:rsidRDefault="00FA6FCC" w:rsidP="00FA6FC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FA6FCC" w:rsidRDefault="00FA6FCC" w:rsidP="00FA6FCC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FA6FCC" w:rsidRDefault="00FA6FCC" w:rsidP="00FA6FCC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FA6FCC" w:rsidRPr="00D04815" w:rsidRDefault="00FA6FCC" w:rsidP="00FA6FCC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FA6FCC" w:rsidRPr="00D04815" w:rsidRDefault="00FA6FCC" w:rsidP="00FA6FCC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FA6FCC" w:rsidRPr="00D04815" w:rsidTr="00A37046">
        <w:trPr>
          <w:cantSplit/>
          <w:trHeight w:val="360"/>
        </w:trPr>
        <w:tc>
          <w:tcPr>
            <w:tcW w:w="1058" w:type="dxa"/>
          </w:tcPr>
          <w:p w:rsidR="00FA6FCC" w:rsidRPr="008F3C36" w:rsidRDefault="00FA6FCC" w:rsidP="00A37046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FCC" w:rsidRPr="00363B80" w:rsidRDefault="00FA6FCC" w:rsidP="00A3704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356" w:type="dxa"/>
          </w:tcPr>
          <w:p w:rsidR="00FA6FCC" w:rsidRPr="008F3C36" w:rsidRDefault="00FA6FCC" w:rsidP="00A37046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FCC" w:rsidRPr="00363B80" w:rsidRDefault="00FA6FCC" w:rsidP="00A370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FCC" w:rsidRPr="00D04815" w:rsidRDefault="00FA6FCC" w:rsidP="00A3704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FA6FCC" w:rsidRPr="00D04815" w:rsidRDefault="00FA6FCC" w:rsidP="00A370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FA6FCC" w:rsidRPr="00D04815" w:rsidRDefault="00FA6FCC" w:rsidP="00A3704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FCC" w:rsidRPr="00363B80" w:rsidRDefault="00FA6FCC" w:rsidP="00A3704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323</w:t>
            </w:r>
          </w:p>
        </w:tc>
      </w:tr>
    </w:tbl>
    <w:p w:rsidR="00FA6FCC" w:rsidRDefault="00FA6FCC" w:rsidP="00FA6FCC">
      <w:pPr>
        <w:pStyle w:val="a4"/>
        <w:rPr>
          <w:b/>
          <w:lang w:val="uk-UA"/>
        </w:rPr>
      </w:pPr>
    </w:p>
    <w:p w:rsidR="00FA6FCC" w:rsidRDefault="00FA6FCC" w:rsidP="00FA6FCC">
      <w:pPr>
        <w:pStyle w:val="a4"/>
        <w:rPr>
          <w:b/>
          <w:lang w:val="uk-UA"/>
        </w:rPr>
      </w:pPr>
    </w:p>
    <w:p w:rsidR="00FA6FCC" w:rsidRPr="00D30B49" w:rsidRDefault="00FA6FCC" w:rsidP="00FA6FCC">
      <w:pPr>
        <w:jc w:val="center"/>
        <w:rPr>
          <w:b/>
          <w:bCs/>
          <w:sz w:val="28"/>
          <w:szCs w:val="28"/>
          <w:lang w:val="uk-UA"/>
        </w:rPr>
      </w:pPr>
      <w:r w:rsidRPr="00D30B49">
        <w:rPr>
          <w:b/>
          <w:bCs/>
          <w:sz w:val="28"/>
          <w:szCs w:val="28"/>
          <w:lang w:val="uk-UA"/>
        </w:rPr>
        <w:t>Про внесення змін до районного бюджету</w:t>
      </w:r>
    </w:p>
    <w:p w:rsidR="00FA6FCC" w:rsidRPr="00D30B49" w:rsidRDefault="00FA6FCC" w:rsidP="00FA6FCC">
      <w:pPr>
        <w:jc w:val="center"/>
        <w:rPr>
          <w:sz w:val="28"/>
          <w:szCs w:val="28"/>
          <w:lang w:val="uk-UA"/>
        </w:rPr>
      </w:pPr>
    </w:p>
    <w:p w:rsidR="00FA6FCC" w:rsidRPr="00D30B49" w:rsidRDefault="00FA6FCC" w:rsidP="00FA6FCC">
      <w:pPr>
        <w:jc w:val="both"/>
        <w:rPr>
          <w:sz w:val="28"/>
          <w:szCs w:val="28"/>
          <w:lang w:val="uk-UA"/>
        </w:rPr>
      </w:pPr>
      <w:r w:rsidRPr="00D30B49">
        <w:rPr>
          <w:sz w:val="28"/>
          <w:szCs w:val="28"/>
          <w:lang w:val="uk-UA"/>
        </w:rPr>
        <w:t xml:space="preserve">             Відповідно до стат</w:t>
      </w:r>
      <w:r>
        <w:rPr>
          <w:sz w:val="28"/>
          <w:szCs w:val="28"/>
          <w:lang w:val="uk-UA"/>
        </w:rPr>
        <w:t>ей</w:t>
      </w:r>
      <w:r w:rsidRPr="00D30B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23,77</w:t>
      </w:r>
      <w:r w:rsidRPr="00D30B49">
        <w:rPr>
          <w:sz w:val="28"/>
          <w:szCs w:val="28"/>
          <w:lang w:val="uk-UA"/>
        </w:rPr>
        <w:t xml:space="preserve"> Бюджетного кодексу України,   </w:t>
      </w:r>
      <w:r>
        <w:rPr>
          <w:sz w:val="28"/>
          <w:szCs w:val="28"/>
          <w:lang w:val="uk-UA"/>
        </w:rPr>
        <w:t>постанови Кабінету Міністрів України від 12 січня 2011 року № 18 „ Про затвердження Порядку передачі бюджетних призначень, перерозподілу видатків бюджету і надання кредитів з бюджету”,</w:t>
      </w:r>
      <w:r w:rsidRPr="000F5C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розпорядження голови Вінницької облдержадміністрації від 14 вересня 2017 року № 632, </w:t>
      </w:r>
      <w:r w:rsidRPr="00533EE6">
        <w:rPr>
          <w:sz w:val="28"/>
          <w:szCs w:val="28"/>
          <w:lang w:val="uk-UA"/>
        </w:rPr>
        <w:t xml:space="preserve"> </w:t>
      </w:r>
      <w:r w:rsidRPr="00D30B49">
        <w:rPr>
          <w:sz w:val="28"/>
          <w:szCs w:val="28"/>
          <w:lang w:val="uk-UA"/>
        </w:rPr>
        <w:t xml:space="preserve">рішення  </w:t>
      </w:r>
      <w:r>
        <w:rPr>
          <w:sz w:val="28"/>
          <w:szCs w:val="28"/>
          <w:lang w:val="uk-UA"/>
        </w:rPr>
        <w:t>9</w:t>
      </w:r>
      <w:r w:rsidRPr="00D30B49">
        <w:rPr>
          <w:sz w:val="28"/>
          <w:szCs w:val="28"/>
          <w:lang w:val="uk-UA"/>
        </w:rPr>
        <w:t xml:space="preserve">  сесії районної ради </w:t>
      </w:r>
      <w:r>
        <w:rPr>
          <w:sz w:val="28"/>
          <w:szCs w:val="28"/>
          <w:lang w:val="uk-UA"/>
        </w:rPr>
        <w:t>7</w:t>
      </w:r>
      <w:r w:rsidRPr="00D30B49">
        <w:rPr>
          <w:sz w:val="28"/>
          <w:szCs w:val="28"/>
          <w:lang w:val="uk-UA"/>
        </w:rPr>
        <w:t xml:space="preserve"> скликання від  </w:t>
      </w:r>
      <w:r>
        <w:rPr>
          <w:sz w:val="28"/>
          <w:szCs w:val="28"/>
          <w:lang w:val="uk-UA"/>
        </w:rPr>
        <w:t>23</w:t>
      </w:r>
      <w:r w:rsidRPr="00D30B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грудня </w:t>
      </w:r>
      <w:r w:rsidRPr="00D30B49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6</w:t>
      </w:r>
      <w:r w:rsidRPr="00D30B49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172  </w:t>
      </w:r>
      <w:r w:rsidRPr="00D30B49">
        <w:rPr>
          <w:sz w:val="28"/>
          <w:szCs w:val="28"/>
          <w:lang w:val="uk-UA"/>
        </w:rPr>
        <w:t>“Про районний бюджет на 201</w:t>
      </w:r>
      <w:r>
        <w:rPr>
          <w:sz w:val="28"/>
          <w:szCs w:val="28"/>
          <w:lang w:val="uk-UA"/>
        </w:rPr>
        <w:t>7</w:t>
      </w:r>
      <w:r w:rsidRPr="00D30B49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”</w:t>
      </w:r>
      <w:r w:rsidRPr="00D30B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змінами): </w:t>
      </w:r>
    </w:p>
    <w:p w:rsidR="00FA6FCC" w:rsidRPr="00D30B49" w:rsidRDefault="00FA6FCC" w:rsidP="00FA6FCC">
      <w:pPr>
        <w:jc w:val="both"/>
        <w:rPr>
          <w:sz w:val="28"/>
          <w:szCs w:val="28"/>
          <w:lang w:val="uk-UA"/>
        </w:rPr>
      </w:pPr>
    </w:p>
    <w:p w:rsidR="00FA6FCC" w:rsidRPr="00D30B49" w:rsidRDefault="00FA6FCC" w:rsidP="00FA6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1. </w:t>
      </w:r>
      <w:r w:rsidRPr="00D30B49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зміни до доходів,</w:t>
      </w:r>
      <w:r w:rsidRPr="008D4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видатків  районного бюджету</w:t>
      </w:r>
      <w:r w:rsidRPr="00D30B49">
        <w:rPr>
          <w:sz w:val="28"/>
          <w:szCs w:val="28"/>
          <w:lang w:val="uk-UA"/>
        </w:rPr>
        <w:t xml:space="preserve"> на 201</w:t>
      </w:r>
      <w:r>
        <w:rPr>
          <w:sz w:val="28"/>
          <w:szCs w:val="28"/>
          <w:lang w:val="uk-UA"/>
        </w:rPr>
        <w:t>7</w:t>
      </w:r>
      <w:r w:rsidRPr="00D30B4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 за головними розпорядниками коштів, показників міжбюджетних трансфертів між районним та іншими бюджетами, переліку місцевих програм, які фінансуватимуться за рахунок коштів районного бюджету, </w:t>
      </w:r>
      <w:r w:rsidRPr="00D30B49">
        <w:rPr>
          <w:sz w:val="28"/>
          <w:szCs w:val="28"/>
          <w:lang w:val="uk-UA"/>
        </w:rPr>
        <w:t>згідно з додатк</w:t>
      </w:r>
      <w:r>
        <w:rPr>
          <w:sz w:val="28"/>
          <w:szCs w:val="28"/>
          <w:lang w:val="uk-UA"/>
        </w:rPr>
        <w:t>ом</w:t>
      </w:r>
      <w:r w:rsidRPr="00D30B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1,3,4,6.</w:t>
      </w:r>
      <w:r w:rsidRPr="00D30B49">
        <w:rPr>
          <w:sz w:val="28"/>
          <w:szCs w:val="28"/>
          <w:lang w:val="uk-UA"/>
        </w:rPr>
        <w:t xml:space="preserve">       </w:t>
      </w:r>
    </w:p>
    <w:p w:rsidR="00FA6FCC" w:rsidRDefault="00FA6FCC" w:rsidP="00FA6FCC">
      <w:pPr>
        <w:ind w:left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30B49">
        <w:rPr>
          <w:sz w:val="28"/>
          <w:szCs w:val="28"/>
          <w:lang w:val="uk-UA"/>
        </w:rPr>
        <w:t xml:space="preserve"> Фінансовому управлінню Чечельницької райдержадміністрації </w:t>
      </w:r>
    </w:p>
    <w:p w:rsidR="00FA6FCC" w:rsidRPr="00D30B49" w:rsidRDefault="00FA6FCC" w:rsidP="00FA6FCC">
      <w:pPr>
        <w:jc w:val="both"/>
        <w:rPr>
          <w:sz w:val="28"/>
          <w:szCs w:val="28"/>
          <w:lang w:val="uk-UA"/>
        </w:rPr>
      </w:pPr>
      <w:r w:rsidRPr="00D30B49">
        <w:rPr>
          <w:sz w:val="28"/>
          <w:szCs w:val="28"/>
          <w:lang w:val="uk-UA"/>
        </w:rPr>
        <w:t xml:space="preserve">/Решетник Н.О./ внести зміни до розпису районного бюджету.  </w:t>
      </w:r>
    </w:p>
    <w:p w:rsidR="00FA6FCC" w:rsidRPr="00D30B49" w:rsidRDefault="00FA6FCC" w:rsidP="00FA6FCC">
      <w:pPr>
        <w:ind w:left="840"/>
        <w:jc w:val="both"/>
        <w:rPr>
          <w:sz w:val="28"/>
          <w:szCs w:val="28"/>
          <w:lang w:val="uk-UA"/>
        </w:rPr>
      </w:pPr>
      <w:r w:rsidRPr="00D30B49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 </w:t>
      </w:r>
      <w:r w:rsidRPr="00D30B49">
        <w:rPr>
          <w:sz w:val="28"/>
          <w:szCs w:val="28"/>
          <w:lang w:val="uk-UA"/>
        </w:rPr>
        <w:t>Це розпорядження підлягає затвердженню  сесією  районної Ради.</w:t>
      </w:r>
    </w:p>
    <w:p w:rsidR="00FA6FCC" w:rsidRPr="00D30B49" w:rsidRDefault="00FA6FCC" w:rsidP="00FA6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D30B49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 </w:t>
      </w:r>
      <w:r w:rsidRPr="00D30B49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A6FCC" w:rsidRDefault="00FA6FCC" w:rsidP="00FA6FCC">
      <w:pPr>
        <w:pStyle w:val="a4"/>
        <w:rPr>
          <w:b/>
          <w:lang w:val="uk-UA"/>
        </w:rPr>
      </w:pPr>
    </w:p>
    <w:p w:rsidR="00FA6FCC" w:rsidRDefault="00FA6FCC" w:rsidP="00FA6FCC">
      <w:pPr>
        <w:pStyle w:val="a4"/>
        <w:rPr>
          <w:b/>
          <w:lang w:val="uk-UA"/>
        </w:rPr>
      </w:pPr>
    </w:p>
    <w:p w:rsidR="00FA6FCC" w:rsidRDefault="00FA6FCC" w:rsidP="00FA6FCC">
      <w:pPr>
        <w:pStyle w:val="a4"/>
        <w:rPr>
          <w:b/>
          <w:lang w:val="uk-UA"/>
        </w:rPr>
      </w:pPr>
    </w:p>
    <w:p w:rsidR="00FA6FCC" w:rsidRDefault="00FA6FCC" w:rsidP="00FA6FCC">
      <w:pPr>
        <w:pStyle w:val="a4"/>
        <w:rPr>
          <w:b/>
          <w:lang w:val="uk-UA"/>
        </w:rPr>
      </w:pPr>
      <w:r>
        <w:rPr>
          <w:b/>
          <w:lang w:val="uk-UA"/>
        </w:rPr>
        <w:t>Голова  районної</w:t>
      </w:r>
    </w:p>
    <w:p w:rsidR="00FA6FCC" w:rsidRDefault="00FA6FCC" w:rsidP="00FA6FCC">
      <w:pPr>
        <w:pStyle w:val="a4"/>
        <w:rPr>
          <w:b/>
          <w:lang w:val="uk-UA"/>
        </w:rPr>
      </w:pPr>
      <w:r>
        <w:rPr>
          <w:b/>
          <w:lang w:val="uk-UA"/>
        </w:rPr>
        <w:t xml:space="preserve">державної </w:t>
      </w:r>
      <w:r w:rsidRPr="008C7069">
        <w:rPr>
          <w:b/>
          <w:lang w:val="uk-UA"/>
        </w:rPr>
        <w:t xml:space="preserve">адміністрації         </w:t>
      </w:r>
      <w:r>
        <w:rPr>
          <w:b/>
          <w:lang w:val="uk-UA"/>
        </w:rPr>
        <w:t xml:space="preserve">                     </w:t>
      </w:r>
      <w:r w:rsidRPr="008C7069">
        <w:rPr>
          <w:b/>
          <w:lang w:val="uk-UA"/>
        </w:rPr>
        <w:t xml:space="preserve">        </w:t>
      </w:r>
      <w:r>
        <w:rPr>
          <w:b/>
          <w:lang w:val="uk-UA"/>
        </w:rPr>
        <w:t xml:space="preserve">             С. Пустовий</w:t>
      </w:r>
    </w:p>
    <w:p w:rsidR="00FA6FCC" w:rsidRPr="00AD6D82" w:rsidRDefault="00FA6FCC" w:rsidP="00FA6FCC">
      <w:pPr>
        <w:pStyle w:val="a4"/>
        <w:rPr>
          <w:b/>
          <w:lang w:val="uk-UA"/>
        </w:rPr>
      </w:pPr>
    </w:p>
    <w:p w:rsidR="00FA6FCC" w:rsidRPr="00FA6FCC" w:rsidRDefault="00FA6FCC" w:rsidP="00FA6FCC">
      <w:pPr>
        <w:pStyle w:val="a4"/>
        <w:rPr>
          <w:color w:val="FFFFFF" w:themeColor="background1"/>
          <w:lang w:val="uk-UA"/>
        </w:rPr>
      </w:pPr>
      <w:r w:rsidRPr="00FA6FCC">
        <w:rPr>
          <w:color w:val="FFFFFF" w:themeColor="background1"/>
          <w:lang w:val="uk-UA"/>
        </w:rPr>
        <w:t xml:space="preserve">                             Н. Решетник</w:t>
      </w:r>
    </w:p>
    <w:p w:rsidR="00FA6FCC" w:rsidRPr="00FA6FCC" w:rsidRDefault="00FA6FCC" w:rsidP="00FA6FCC">
      <w:pPr>
        <w:pStyle w:val="a4"/>
        <w:rPr>
          <w:color w:val="FFFFFF" w:themeColor="background1"/>
          <w:lang w:val="uk-UA"/>
        </w:rPr>
      </w:pPr>
      <w:r w:rsidRPr="00FA6FCC">
        <w:rPr>
          <w:color w:val="FFFFFF" w:themeColor="background1"/>
          <w:lang w:val="uk-UA"/>
        </w:rPr>
        <w:t xml:space="preserve">                             О. Ярова</w:t>
      </w:r>
    </w:p>
    <w:p w:rsidR="00FA6FCC" w:rsidRPr="00FA6FCC" w:rsidRDefault="00FA6FCC" w:rsidP="00FA6FCC">
      <w:pPr>
        <w:pStyle w:val="a4"/>
        <w:rPr>
          <w:color w:val="FFFFFF" w:themeColor="background1"/>
          <w:lang w:val="uk-UA"/>
        </w:rPr>
      </w:pPr>
      <w:r w:rsidRPr="00FA6FCC">
        <w:rPr>
          <w:color w:val="FFFFFF" w:themeColor="background1"/>
          <w:lang w:val="uk-UA"/>
        </w:rPr>
        <w:t xml:space="preserve">                             Н. Никитюк</w:t>
      </w:r>
    </w:p>
    <w:p w:rsidR="00FA6FCC" w:rsidRPr="00FA6FCC" w:rsidRDefault="00FA6FCC" w:rsidP="00FA6FCC">
      <w:pPr>
        <w:pStyle w:val="a4"/>
        <w:rPr>
          <w:color w:val="FFFFFF" w:themeColor="background1"/>
          <w:lang w:val="uk-UA"/>
        </w:rPr>
      </w:pPr>
      <w:r w:rsidRPr="00FA6FCC">
        <w:rPr>
          <w:color w:val="FFFFFF" w:themeColor="background1"/>
          <w:lang w:val="uk-UA"/>
        </w:rPr>
        <w:t xml:space="preserve">                             В. Савчук</w:t>
      </w:r>
    </w:p>
    <w:p w:rsidR="00FA6FCC" w:rsidRPr="00FA6FCC" w:rsidRDefault="00FA6FCC" w:rsidP="00FA6FCC">
      <w:pPr>
        <w:pStyle w:val="a4"/>
        <w:rPr>
          <w:color w:val="FFFFFF" w:themeColor="background1"/>
          <w:lang w:val="uk-UA"/>
        </w:rPr>
      </w:pPr>
      <w:r w:rsidRPr="00FA6FCC">
        <w:rPr>
          <w:color w:val="FFFFFF" w:themeColor="background1"/>
          <w:lang w:val="uk-UA"/>
        </w:rPr>
        <w:t xml:space="preserve">                             О. Тимофієва</w:t>
      </w: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jc w:val="center"/>
        <w:rPr>
          <w:sz w:val="24"/>
          <w:szCs w:val="24"/>
          <w:lang w:val="uk-UA"/>
        </w:rPr>
      </w:pPr>
    </w:p>
    <w:p w:rsidR="00FA6FCC" w:rsidRDefault="00FA6FCC" w:rsidP="00FA6FCC">
      <w:pPr>
        <w:rPr>
          <w:sz w:val="24"/>
          <w:szCs w:val="24"/>
          <w:lang w:val="uk-UA"/>
        </w:rPr>
      </w:pPr>
    </w:p>
    <w:p w:rsidR="00E339FD" w:rsidRDefault="00E339FD"/>
    <w:sectPr w:rsidR="00E339FD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FCC"/>
    <w:rsid w:val="00E339FD"/>
    <w:rsid w:val="00FA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FCC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6FC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6FCC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A6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FA6FCC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FA6FC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A6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 Знак Знак Знак"/>
    <w:basedOn w:val="a"/>
    <w:uiPriority w:val="99"/>
    <w:rsid w:val="00FA6FC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2017-09-25T11:42:00Z</cp:lastPrinted>
  <dcterms:created xsi:type="dcterms:W3CDTF">2017-09-25T11:35:00Z</dcterms:created>
  <dcterms:modified xsi:type="dcterms:W3CDTF">2017-09-25T11:43:00Z</dcterms:modified>
</cp:coreProperties>
</file>